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1080" w:right="-945" w:firstLine="0"/>
        <w:jc w:val="center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center"/>
        <w:rPr>
          <w:b w:val="1"/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Post-operative Protocol: </w:t>
      </w:r>
      <w:r w:rsidDel="00000000" w:rsidR="00000000" w:rsidRPr="00000000">
        <w:rPr>
          <w:b w:val="1"/>
          <w:sz w:val="42"/>
          <w:szCs w:val="42"/>
          <w:rtl w:val="0"/>
        </w:rPr>
        <w:t xml:space="preserve">Subacromial Balloon Implant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1080" w:right="-94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1080" w:right="-94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304816" cy="582547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4816" cy="58254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AwQxfHVuk5B89bfPV6FdvyjS4w==">AMUW2mWrU54sl/ZEX9uKZcy3hbvPawW5H5MQsYy12IVXfdKxSLBmd5OHxnEO0ymdn6MugsWhUsP/3xLEmaCqeUnAQRyi5xfxopsAV7tBg04LAbnand8sMh4=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