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142321" cy="7598908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2321" cy="75989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E169/PaVFHJ0xmxBqKDUDCuCPA==">AMUW2mVL5tE3pPV+ZC0+kIQvEb8/ksX1qt4qu7nIiCdXL1s7K71WP82rUsREFdDNK2ZEsZ2/qCYTc8DQdCkacAgNct+FarGUAy2G1VRTDnwYeHYhhad1qFg=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